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9ED280" w14:textId="77777777" w:rsidR="005B3875" w:rsidRDefault="00000000">
      <w:pPr>
        <w:pStyle w:val="Title"/>
        <w:jc w:val="center"/>
        <w:rPr>
          <w:sz w:val="36"/>
          <w:szCs w:val="36"/>
        </w:rPr>
      </w:pPr>
      <w:bookmarkStart w:id="0" w:name="_cttvkdzdzgrq" w:colFirst="0" w:colLast="0"/>
      <w:bookmarkEnd w:id="0"/>
      <w:r>
        <w:rPr>
          <w:sz w:val="36"/>
          <w:szCs w:val="36"/>
        </w:rPr>
        <w:t>Protocol template: development and evaluation of AI/ML-based tools for healthcare and medicine</w:t>
      </w:r>
    </w:p>
    <w:p w14:paraId="34FE38F0" w14:textId="77777777" w:rsidR="005B3875" w:rsidRDefault="00000000">
      <w:pPr>
        <w:pStyle w:val="Heading2"/>
      </w:pPr>
      <w:bookmarkStart w:id="1" w:name="_9e0g5j4x2wvl" w:colFirst="0" w:colLast="0"/>
      <w:bookmarkEnd w:id="1"/>
      <w:r>
        <w:t>About this document</w:t>
      </w:r>
    </w:p>
    <w:p w14:paraId="17DB311F" w14:textId="2972770C" w:rsidR="005B3875" w:rsidRDefault="00000000">
      <w:pPr>
        <w:spacing w:after="200"/>
        <w:rPr>
          <w:i/>
          <w:iCs/>
          <w:color w:val="4A86E8"/>
        </w:rPr>
      </w:pPr>
      <w:r>
        <w:rPr>
          <w:i/>
          <w:iCs/>
          <w:color w:val="4A86E8"/>
        </w:rPr>
        <w:t xml:space="preserve">This is a protocol template for studies developing new or evaluating existing AI/ML-based models, algorithms, or tools in healthcare and medicine. Protocols are working documents that describe the intended conduct of the study. Having a pre-specified protocol is scientific best-practice, </w:t>
      </w:r>
      <w:proofErr w:type="gramStart"/>
      <w:r>
        <w:rPr>
          <w:i/>
          <w:iCs/>
          <w:color w:val="4A86E8"/>
        </w:rPr>
        <w:t>and also</w:t>
      </w:r>
      <w:proofErr w:type="gramEnd"/>
      <w:r>
        <w:rPr>
          <w:i/>
          <w:iCs/>
          <w:color w:val="4A86E8"/>
        </w:rPr>
        <w:t xml:space="preserve"> commonly expected by data stewards, ethics boards, academic journals, or other research stakeholders. </w:t>
      </w:r>
    </w:p>
    <w:p w14:paraId="4EF8353F" w14:textId="77777777" w:rsidR="005B3875" w:rsidRDefault="00000000">
      <w:pPr>
        <w:spacing w:after="200"/>
        <w:rPr>
          <w:i/>
          <w:iCs/>
          <w:color w:val="4A86E8"/>
        </w:rPr>
      </w:pPr>
      <w:r>
        <w:rPr>
          <w:i/>
          <w:iCs/>
          <w:color w:val="4A86E8"/>
        </w:rPr>
        <w:t xml:space="preserve">Due to continually evolving requirements and guidance from health regulators on AI/ML-based technologies, this template was </w:t>
      </w:r>
      <w:r>
        <w:rPr>
          <w:b/>
          <w:bCs/>
          <w:i/>
          <w:iCs/>
          <w:color w:val="4A86E8"/>
          <w:u w:val="single"/>
        </w:rPr>
        <w:t>not</w:t>
      </w:r>
      <w:r>
        <w:rPr>
          <w:i/>
          <w:iCs/>
          <w:color w:val="4A86E8"/>
        </w:rPr>
        <w:t xml:space="preserve"> designed for studies that support regulatory submissions or are considered Software as a Medical Device (SaMD). We hope to be able to support regulatory submissions in future template versions.</w:t>
      </w:r>
    </w:p>
    <w:p w14:paraId="231F9A90" w14:textId="77777777" w:rsidR="005B3875" w:rsidRDefault="00000000">
      <w:pPr>
        <w:spacing w:after="200"/>
        <w:rPr>
          <w:i/>
          <w:iCs/>
          <w:color w:val="4A86E8"/>
        </w:rPr>
      </w:pPr>
      <w:r>
        <w:rPr>
          <w:i/>
          <w:iCs/>
          <w:color w:val="4A86E8"/>
        </w:rPr>
        <w:t xml:space="preserve">This template was created based on our collective experience designing and evaluating AI/ML-based tools for healthcare and medicine. We are making it freely </w:t>
      </w:r>
      <w:proofErr w:type="gramStart"/>
      <w:r>
        <w:rPr>
          <w:i/>
          <w:iCs/>
          <w:color w:val="4A86E8"/>
        </w:rPr>
        <w:t>available, and</w:t>
      </w:r>
      <w:proofErr w:type="gramEnd"/>
      <w:r>
        <w:rPr>
          <w:i/>
          <w:iCs/>
          <w:color w:val="4A86E8"/>
        </w:rPr>
        <w:t xml:space="preserve"> intend to continue improving and refining based on feedback and the continued evolution of AI/ML in healthcare and medicine.  </w:t>
      </w:r>
    </w:p>
    <w:p w14:paraId="0E7956A4" w14:textId="77777777" w:rsidR="005B3875" w:rsidRDefault="00000000">
      <w:pPr>
        <w:spacing w:after="200"/>
        <w:rPr>
          <w:i/>
          <w:iCs/>
          <w:color w:val="4A86E8"/>
        </w:rPr>
      </w:pPr>
      <w:r>
        <w:rPr>
          <w:b/>
          <w:bCs/>
          <w:i/>
          <w:iCs/>
          <w:color w:val="4A86E8"/>
        </w:rPr>
        <w:t>Feedback or ideas for improvement are appreciated</w:t>
      </w:r>
      <w:r>
        <w:rPr>
          <w:i/>
          <w:iCs/>
          <w:color w:val="4A86E8"/>
        </w:rPr>
        <w:t xml:space="preserve"> and can be sent to </w:t>
      </w:r>
      <w:hyperlink r:id="rId6">
        <w:r w:rsidR="005B3875">
          <w:rPr>
            <w:i/>
            <w:iCs/>
            <w:color w:val="1155CC"/>
            <w:u w:val="single"/>
          </w:rPr>
          <w:t>info@kathrynrough.net</w:t>
        </w:r>
      </w:hyperlink>
      <w:r>
        <w:rPr>
          <w:i/>
          <w:iCs/>
          <w:color w:val="4A86E8"/>
        </w:rPr>
        <w:t xml:space="preserve">. </w:t>
      </w:r>
    </w:p>
    <w:p w14:paraId="5FFD7A43" w14:textId="77777777" w:rsidR="005B3875" w:rsidRDefault="00000000">
      <w:pPr>
        <w:pStyle w:val="Heading2"/>
      </w:pPr>
      <w:bookmarkStart w:id="2" w:name="_2sikinxqfsoo" w:colFirst="0" w:colLast="0"/>
      <w:bookmarkEnd w:id="2"/>
      <w:r>
        <w:t>Instructions for using this document</w:t>
      </w:r>
    </w:p>
    <w:p w14:paraId="1A484E62" w14:textId="77777777" w:rsidR="005B3875" w:rsidRDefault="00000000">
      <w:pPr>
        <w:spacing w:after="200"/>
        <w:rPr>
          <w:i/>
          <w:iCs/>
          <w:color w:val="4A86E8"/>
        </w:rPr>
      </w:pPr>
      <w:r>
        <w:rPr>
          <w:i/>
          <w:iCs/>
          <w:color w:val="4A86E8"/>
        </w:rPr>
        <w:t>Protocols provide enough information for the audience to understand the research question and proposed methods, to enable reproducibility of research, and to ensure the generation of reliable evidence. They allow readers to assess the strengths, limitations, and appropriateness of the study design and analyses. A good protocol is concise and free of jargon. Definitions for terms used throughout the template are provided in a Glossary below.</w:t>
      </w:r>
    </w:p>
    <w:p w14:paraId="62F3CA9C" w14:textId="77777777" w:rsidR="005B3875" w:rsidRDefault="00000000">
      <w:pPr>
        <w:spacing w:after="200"/>
        <w:rPr>
          <w:i/>
          <w:iCs/>
          <w:color w:val="4A86E8"/>
        </w:rPr>
      </w:pPr>
      <w:r>
        <w:rPr>
          <w:i/>
          <w:iCs/>
          <w:color w:val="4A86E8"/>
        </w:rPr>
        <w:lastRenderedPageBreak/>
        <w:t xml:space="preserve">Instructions and guidance to the protocol authors are provided in blue italic </w:t>
      </w:r>
      <w:proofErr w:type="gramStart"/>
      <w:r>
        <w:rPr>
          <w:i/>
          <w:iCs/>
          <w:color w:val="4A86E8"/>
        </w:rPr>
        <w:t>text, and</w:t>
      </w:r>
      <w:proofErr w:type="gramEnd"/>
      <w:r>
        <w:rPr>
          <w:i/>
          <w:iCs/>
          <w:color w:val="4A86E8"/>
        </w:rPr>
        <w:t xml:space="preserve"> should be removed from the finalized protocol. Any headings and subheadings marked “(Optional)” can be removed if they are not relevant to a given study.</w:t>
      </w:r>
    </w:p>
    <w:p w14:paraId="3DB0A7AD" w14:textId="77777777" w:rsidR="005B3875" w:rsidRDefault="00000000">
      <w:pPr>
        <w:spacing w:after="200"/>
        <w:rPr>
          <w:i/>
          <w:iCs/>
          <w:color w:val="4A86E8"/>
        </w:rPr>
      </w:pPr>
      <w:r>
        <w:rPr>
          <w:i/>
          <w:iCs/>
          <w:color w:val="4A86E8"/>
        </w:rPr>
        <w:t>The header and footer identify the source of this template. In your finalized protocol, replace the footer with your own protocol identifiers (protocol title or ID, version, and date), and change the header to read “Based on AI4HM Protocol Template v0.3” so that the source of the template remains traceable.</w:t>
      </w:r>
    </w:p>
    <w:p w14:paraId="3D1D6BFE" w14:textId="77777777" w:rsidR="005B3875" w:rsidRDefault="00000000">
      <w:pPr>
        <w:pStyle w:val="Heading2"/>
      </w:pPr>
      <w:bookmarkStart w:id="3" w:name="_ynlhcy6g8bur" w:colFirst="0" w:colLast="0"/>
      <w:bookmarkEnd w:id="3"/>
      <w:r>
        <w:t>Glossary</w:t>
      </w:r>
    </w:p>
    <w:p w14:paraId="2CC4C871" w14:textId="77777777" w:rsidR="005B3875" w:rsidRDefault="00000000">
      <w:pPr>
        <w:spacing w:after="200"/>
      </w:pPr>
      <w:r>
        <w:rPr>
          <w:i/>
          <w:iCs/>
          <w:color w:val="4A86E8"/>
        </w:rPr>
        <w:t xml:space="preserve">Below are definitions for terms used throughout the protocol template. If portions of this Glossary may be helpful to your protocol audience, please feel free to include portions of it (along with necessary edits and additions) as an Appendix in your Protocol.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6645"/>
      </w:tblGrid>
      <w:tr w:rsidR="005B3875" w14:paraId="745BFF57" w14:textId="77777777">
        <w:tc>
          <w:tcPr>
            <w:tcW w:w="2715" w:type="dxa"/>
            <w:tcMar>
              <w:top w:w="100" w:type="dxa"/>
              <w:left w:w="100" w:type="dxa"/>
              <w:bottom w:w="100" w:type="dxa"/>
              <w:right w:w="100" w:type="dxa"/>
            </w:tcMar>
          </w:tcPr>
          <w:p w14:paraId="144A5060" w14:textId="77777777" w:rsidR="005B3875" w:rsidRDefault="00000000">
            <w:pPr>
              <w:spacing w:line="240" w:lineRule="auto"/>
              <w:jc w:val="center"/>
              <w:rPr>
                <w:b/>
                <w:bCs/>
              </w:rPr>
            </w:pPr>
            <w:r>
              <w:rPr>
                <w:b/>
                <w:bCs/>
              </w:rPr>
              <w:t>Term</w:t>
            </w:r>
          </w:p>
        </w:tc>
        <w:tc>
          <w:tcPr>
            <w:tcW w:w="6645" w:type="dxa"/>
            <w:tcMar>
              <w:top w:w="100" w:type="dxa"/>
              <w:left w:w="100" w:type="dxa"/>
              <w:bottom w:w="100" w:type="dxa"/>
              <w:right w:w="100" w:type="dxa"/>
            </w:tcMar>
          </w:tcPr>
          <w:p w14:paraId="01FA24A2" w14:textId="77777777" w:rsidR="005B3875" w:rsidRDefault="00000000">
            <w:pPr>
              <w:spacing w:line="240" w:lineRule="auto"/>
              <w:jc w:val="center"/>
              <w:rPr>
                <w:b/>
                <w:bCs/>
              </w:rPr>
            </w:pPr>
            <w:r>
              <w:rPr>
                <w:b/>
                <w:bCs/>
              </w:rPr>
              <w:t>Intended meaning</w:t>
            </w:r>
          </w:p>
        </w:tc>
      </w:tr>
      <w:tr w:rsidR="005B3875" w14:paraId="3638131D" w14:textId="77777777">
        <w:tc>
          <w:tcPr>
            <w:tcW w:w="2715" w:type="dxa"/>
            <w:tcMar>
              <w:top w:w="100" w:type="dxa"/>
              <w:left w:w="100" w:type="dxa"/>
              <w:bottom w:w="100" w:type="dxa"/>
              <w:right w:w="100" w:type="dxa"/>
            </w:tcMar>
          </w:tcPr>
          <w:p w14:paraId="085F980F" w14:textId="77777777" w:rsidR="005B3875" w:rsidRDefault="00000000">
            <w:pPr>
              <w:spacing w:line="240" w:lineRule="auto"/>
              <w:rPr>
                <w:sz w:val="20"/>
                <w:szCs w:val="20"/>
              </w:rPr>
            </w:pPr>
            <w:r>
              <w:rPr>
                <w:sz w:val="20"/>
                <w:szCs w:val="20"/>
              </w:rPr>
              <w:t>Adverse event</w:t>
            </w:r>
          </w:p>
        </w:tc>
        <w:tc>
          <w:tcPr>
            <w:tcW w:w="6645" w:type="dxa"/>
            <w:tcMar>
              <w:top w:w="100" w:type="dxa"/>
              <w:left w:w="100" w:type="dxa"/>
              <w:bottom w:w="100" w:type="dxa"/>
              <w:right w:w="100" w:type="dxa"/>
            </w:tcMar>
          </w:tcPr>
          <w:p w14:paraId="56592D9F" w14:textId="77777777" w:rsidR="005B3875" w:rsidRDefault="00000000">
            <w:pPr>
              <w:spacing w:line="240" w:lineRule="auto"/>
              <w:rPr>
                <w:sz w:val="20"/>
                <w:szCs w:val="20"/>
              </w:rPr>
            </w:pPr>
            <w:r>
              <w:rPr>
                <w:sz w:val="20"/>
                <w:szCs w:val="20"/>
              </w:rPr>
              <w:t>An undesirable event that happens after receiving a treatment, a medical device, or another form of healthcare intervention. The event may not necessarily be caused by the intervention. When conducting an interventional trial (or non-interventional study sponsored by a device manufacturer), local regulators often have specific definitions of adverse events, and rules related to their reporting.</w:t>
            </w:r>
          </w:p>
        </w:tc>
      </w:tr>
      <w:tr w:rsidR="005B3875" w14:paraId="7A23FE77" w14:textId="77777777">
        <w:trPr>
          <w:trHeight w:val="1695"/>
        </w:trPr>
        <w:tc>
          <w:tcPr>
            <w:tcW w:w="2715" w:type="dxa"/>
            <w:tcMar>
              <w:top w:w="100" w:type="dxa"/>
              <w:left w:w="100" w:type="dxa"/>
              <w:bottom w:w="100" w:type="dxa"/>
              <w:right w:w="100" w:type="dxa"/>
            </w:tcMar>
          </w:tcPr>
          <w:p w14:paraId="20421E06" w14:textId="77777777" w:rsidR="005B3875" w:rsidRDefault="00000000">
            <w:pPr>
              <w:spacing w:line="240" w:lineRule="auto"/>
              <w:rPr>
                <w:sz w:val="20"/>
                <w:szCs w:val="20"/>
              </w:rPr>
            </w:pPr>
            <w:r>
              <w:rPr>
                <w:sz w:val="20"/>
                <w:szCs w:val="20"/>
              </w:rPr>
              <w:t>AI/ML-based tool</w:t>
            </w:r>
          </w:p>
        </w:tc>
        <w:tc>
          <w:tcPr>
            <w:tcW w:w="6645" w:type="dxa"/>
            <w:tcMar>
              <w:top w:w="100" w:type="dxa"/>
              <w:left w:w="100" w:type="dxa"/>
              <w:bottom w:w="100" w:type="dxa"/>
              <w:right w:w="100" w:type="dxa"/>
            </w:tcMar>
          </w:tcPr>
          <w:p w14:paraId="23868188" w14:textId="77777777" w:rsidR="005B3875" w:rsidRDefault="00000000">
            <w:pPr>
              <w:spacing w:line="240" w:lineRule="auto"/>
              <w:rPr>
                <w:sz w:val="20"/>
                <w:szCs w:val="20"/>
              </w:rPr>
            </w:pPr>
            <w:r>
              <w:rPr>
                <w:sz w:val="20"/>
                <w:szCs w:val="20"/>
              </w:rPr>
              <w:t>Broad and inclusive term referring to a computerized tool, some portions of which may use artificial intelligence or machine learning methods. This includes the components that utilize models or data-based algorithms as well as the “non-AI/ML” components of the tool (such as the user interface), that may be crucial to determining its real-world utility and safety.</w:t>
            </w:r>
          </w:p>
        </w:tc>
      </w:tr>
      <w:tr w:rsidR="005B3875" w14:paraId="6D342714" w14:textId="77777777">
        <w:tc>
          <w:tcPr>
            <w:tcW w:w="2715" w:type="dxa"/>
            <w:tcMar>
              <w:top w:w="100" w:type="dxa"/>
              <w:left w:w="100" w:type="dxa"/>
              <w:bottom w:w="100" w:type="dxa"/>
              <w:right w:w="100" w:type="dxa"/>
            </w:tcMar>
          </w:tcPr>
          <w:p w14:paraId="51E6270C" w14:textId="77777777" w:rsidR="005B3875" w:rsidRDefault="00000000">
            <w:pPr>
              <w:spacing w:line="240" w:lineRule="auto"/>
              <w:rPr>
                <w:sz w:val="20"/>
                <w:szCs w:val="20"/>
              </w:rPr>
            </w:pPr>
            <w:r>
              <w:rPr>
                <w:sz w:val="20"/>
                <w:szCs w:val="20"/>
              </w:rPr>
              <w:t>Artificial intelligence (AI)</w:t>
            </w:r>
          </w:p>
        </w:tc>
        <w:tc>
          <w:tcPr>
            <w:tcW w:w="6645" w:type="dxa"/>
            <w:tcMar>
              <w:top w:w="100" w:type="dxa"/>
              <w:left w:w="100" w:type="dxa"/>
              <w:bottom w:w="100" w:type="dxa"/>
              <w:right w:w="100" w:type="dxa"/>
            </w:tcMar>
          </w:tcPr>
          <w:p w14:paraId="0574CEF4" w14:textId="77777777" w:rsidR="005B3875" w:rsidRDefault="00000000">
            <w:pPr>
              <w:spacing w:line="240" w:lineRule="auto"/>
              <w:rPr>
                <w:sz w:val="20"/>
                <w:szCs w:val="20"/>
              </w:rPr>
            </w:pPr>
            <w:r>
              <w:rPr>
                <w:sz w:val="20"/>
                <w:szCs w:val="20"/>
              </w:rPr>
              <w:t>Broad and non-specific term used to describe any computerized actions that would typically be considered to require human intelligence; it is agnostic to the method used to achieve the result. It can encompass technologies ranging from hard-coded expert systems (e.g., a programmable calculator) to technologies reliant on deep learning technologies (e.g., large language models for text translation).</w:t>
            </w:r>
          </w:p>
        </w:tc>
      </w:tr>
      <w:tr w:rsidR="005B3875" w14:paraId="55E84122" w14:textId="77777777">
        <w:tc>
          <w:tcPr>
            <w:tcW w:w="2715" w:type="dxa"/>
            <w:tcMar>
              <w:top w:w="100" w:type="dxa"/>
              <w:left w:w="100" w:type="dxa"/>
              <w:bottom w:w="100" w:type="dxa"/>
              <w:right w:w="100" w:type="dxa"/>
            </w:tcMar>
          </w:tcPr>
          <w:p w14:paraId="04CC0C33" w14:textId="77777777" w:rsidR="005B3875" w:rsidRDefault="00000000">
            <w:pPr>
              <w:spacing w:line="240" w:lineRule="auto"/>
              <w:rPr>
                <w:sz w:val="20"/>
                <w:szCs w:val="20"/>
              </w:rPr>
            </w:pPr>
            <w:r>
              <w:rPr>
                <w:sz w:val="20"/>
                <w:szCs w:val="20"/>
              </w:rPr>
              <w:lastRenderedPageBreak/>
              <w:t>Cohort study</w:t>
            </w:r>
          </w:p>
        </w:tc>
        <w:tc>
          <w:tcPr>
            <w:tcW w:w="6645" w:type="dxa"/>
            <w:tcMar>
              <w:top w:w="100" w:type="dxa"/>
              <w:left w:w="100" w:type="dxa"/>
              <w:bottom w:w="100" w:type="dxa"/>
              <w:right w:w="100" w:type="dxa"/>
            </w:tcMar>
          </w:tcPr>
          <w:p w14:paraId="22FCC397" w14:textId="77777777" w:rsidR="005B3875" w:rsidRDefault="00000000">
            <w:pPr>
              <w:spacing w:line="240" w:lineRule="auto"/>
              <w:rPr>
                <w:sz w:val="20"/>
                <w:szCs w:val="20"/>
              </w:rPr>
            </w:pPr>
            <w:r>
              <w:rPr>
                <w:sz w:val="20"/>
                <w:szCs w:val="20"/>
              </w:rPr>
              <w:t xml:space="preserve">Longitudinally follows a sample of a population over time, and records events or changes that happen during the time participants are followed. An example is the </w:t>
            </w:r>
            <w:hyperlink r:id="rId7">
              <w:r w:rsidR="005B3875">
                <w:rPr>
                  <w:color w:val="1155CC"/>
                  <w:sz w:val="20"/>
                  <w:szCs w:val="20"/>
                  <w:u w:val="single"/>
                </w:rPr>
                <w:t>Nurse’s Health Study</w:t>
              </w:r>
            </w:hyperlink>
            <w:r>
              <w:rPr>
                <w:sz w:val="20"/>
                <w:szCs w:val="20"/>
              </w:rPr>
              <w:t>, which followed the women enrolled over decades to understand the safety of oral contraceptives.</w:t>
            </w:r>
          </w:p>
        </w:tc>
      </w:tr>
      <w:tr w:rsidR="005B3875" w14:paraId="585EA744" w14:textId="77777777">
        <w:tc>
          <w:tcPr>
            <w:tcW w:w="2715" w:type="dxa"/>
            <w:tcMar>
              <w:top w:w="100" w:type="dxa"/>
              <w:left w:w="100" w:type="dxa"/>
              <w:bottom w:w="100" w:type="dxa"/>
              <w:right w:w="100" w:type="dxa"/>
            </w:tcMar>
          </w:tcPr>
          <w:p w14:paraId="4A17A7EB" w14:textId="77777777" w:rsidR="005B3875" w:rsidRDefault="00000000">
            <w:pPr>
              <w:spacing w:line="240" w:lineRule="auto"/>
              <w:rPr>
                <w:sz w:val="20"/>
                <w:szCs w:val="20"/>
              </w:rPr>
            </w:pPr>
            <w:r>
              <w:rPr>
                <w:sz w:val="20"/>
                <w:szCs w:val="20"/>
              </w:rPr>
              <w:t>Common data model</w:t>
            </w:r>
          </w:p>
        </w:tc>
        <w:tc>
          <w:tcPr>
            <w:tcW w:w="6645" w:type="dxa"/>
            <w:tcMar>
              <w:top w:w="100" w:type="dxa"/>
              <w:left w:w="100" w:type="dxa"/>
              <w:bottom w:w="100" w:type="dxa"/>
              <w:right w:w="100" w:type="dxa"/>
            </w:tcMar>
          </w:tcPr>
          <w:p w14:paraId="0891B1CC" w14:textId="77777777" w:rsidR="005B3875" w:rsidRDefault="00000000">
            <w:pPr>
              <w:spacing w:line="240" w:lineRule="auto"/>
              <w:rPr>
                <w:sz w:val="20"/>
                <w:szCs w:val="20"/>
              </w:rPr>
            </w:pPr>
            <w:r>
              <w:rPr>
                <w:sz w:val="20"/>
                <w:szCs w:val="20"/>
              </w:rPr>
              <w:t xml:space="preserve">A standardized/harmonized data structure that is re-usable and intended to be interoperable across different data sources, projects, applications, research, or services. Examples of common data models used in medical settings and healthcare research include OMOP, FHIR, and Sentinel.  </w:t>
            </w:r>
          </w:p>
        </w:tc>
      </w:tr>
      <w:tr w:rsidR="005B3875" w14:paraId="5A73C07E" w14:textId="77777777">
        <w:tc>
          <w:tcPr>
            <w:tcW w:w="2715" w:type="dxa"/>
            <w:tcMar>
              <w:top w:w="100" w:type="dxa"/>
              <w:left w:w="100" w:type="dxa"/>
              <w:bottom w:w="100" w:type="dxa"/>
              <w:right w:w="100" w:type="dxa"/>
            </w:tcMar>
          </w:tcPr>
          <w:p w14:paraId="4243B278" w14:textId="77777777" w:rsidR="005B3875" w:rsidRDefault="00000000">
            <w:pPr>
              <w:spacing w:line="240" w:lineRule="auto"/>
              <w:rPr>
                <w:sz w:val="20"/>
                <w:szCs w:val="20"/>
              </w:rPr>
            </w:pPr>
            <w:r>
              <w:rPr>
                <w:sz w:val="20"/>
                <w:szCs w:val="20"/>
              </w:rPr>
              <w:t>Cross-sectional study</w:t>
            </w:r>
          </w:p>
        </w:tc>
        <w:tc>
          <w:tcPr>
            <w:tcW w:w="6645" w:type="dxa"/>
            <w:tcMar>
              <w:top w:w="100" w:type="dxa"/>
              <w:left w:w="100" w:type="dxa"/>
              <w:bottom w:w="100" w:type="dxa"/>
              <w:right w:w="100" w:type="dxa"/>
            </w:tcMar>
          </w:tcPr>
          <w:p w14:paraId="3A228C79" w14:textId="77777777" w:rsidR="005B3875" w:rsidRDefault="00000000">
            <w:pPr>
              <w:spacing w:line="240" w:lineRule="auto"/>
              <w:rPr>
                <w:sz w:val="20"/>
                <w:szCs w:val="20"/>
              </w:rPr>
            </w:pPr>
            <w:r>
              <w:rPr>
                <w:sz w:val="20"/>
                <w:szCs w:val="20"/>
              </w:rPr>
              <w:t>Includes a sample of a population at a certain, fixed timepoint. Data is gathered once and participants are not followed over time. The U.S. Census or a one-time online survey are examples of cross-sectional studies.</w:t>
            </w:r>
          </w:p>
        </w:tc>
      </w:tr>
      <w:tr w:rsidR="005B3875" w14:paraId="06766387" w14:textId="77777777">
        <w:tc>
          <w:tcPr>
            <w:tcW w:w="2715" w:type="dxa"/>
            <w:tcMar>
              <w:top w:w="100" w:type="dxa"/>
              <w:left w:w="100" w:type="dxa"/>
              <w:bottom w:w="100" w:type="dxa"/>
              <w:right w:w="100" w:type="dxa"/>
            </w:tcMar>
          </w:tcPr>
          <w:p w14:paraId="25AC8701" w14:textId="77777777" w:rsidR="005B3875" w:rsidRDefault="00000000">
            <w:pPr>
              <w:spacing w:line="240" w:lineRule="auto"/>
              <w:rPr>
                <w:sz w:val="20"/>
                <w:szCs w:val="20"/>
              </w:rPr>
            </w:pPr>
            <w:r>
              <w:rPr>
                <w:sz w:val="20"/>
                <w:szCs w:val="20"/>
              </w:rPr>
              <w:t>ETL (Extract, transform, load)</w:t>
            </w:r>
          </w:p>
        </w:tc>
        <w:tc>
          <w:tcPr>
            <w:tcW w:w="6645" w:type="dxa"/>
            <w:tcMar>
              <w:top w:w="100" w:type="dxa"/>
              <w:left w:w="100" w:type="dxa"/>
              <w:bottom w:w="100" w:type="dxa"/>
              <w:right w:w="100" w:type="dxa"/>
            </w:tcMar>
          </w:tcPr>
          <w:p w14:paraId="66C3F40C" w14:textId="77777777" w:rsidR="005B3875" w:rsidRDefault="00000000">
            <w:pPr>
              <w:spacing w:line="240" w:lineRule="auto"/>
              <w:rPr>
                <w:sz w:val="20"/>
                <w:szCs w:val="20"/>
              </w:rPr>
            </w:pPr>
            <w:r>
              <w:rPr>
                <w:sz w:val="20"/>
                <w:szCs w:val="20"/>
              </w:rPr>
              <w:t>Process by which data from multiple systems are combined, converted to a consistent format based on specified rules, and stored in a single database. In many cases, data in the underlying systems is being continually updated, and ETL pipelines are run on a regular and ongoing basis.</w:t>
            </w:r>
          </w:p>
        </w:tc>
      </w:tr>
      <w:tr w:rsidR="005B3875" w14:paraId="473F6B22" w14:textId="77777777">
        <w:tc>
          <w:tcPr>
            <w:tcW w:w="2715" w:type="dxa"/>
            <w:tcMar>
              <w:top w:w="100" w:type="dxa"/>
              <w:left w:w="100" w:type="dxa"/>
              <w:bottom w:w="100" w:type="dxa"/>
              <w:right w:w="100" w:type="dxa"/>
            </w:tcMar>
          </w:tcPr>
          <w:p w14:paraId="06D4EC7E" w14:textId="77777777" w:rsidR="005B3875" w:rsidRDefault="00000000">
            <w:pPr>
              <w:spacing w:line="240" w:lineRule="auto"/>
              <w:rPr>
                <w:sz w:val="20"/>
                <w:szCs w:val="20"/>
              </w:rPr>
            </w:pPr>
            <w:r>
              <w:rPr>
                <w:sz w:val="20"/>
                <w:szCs w:val="20"/>
              </w:rPr>
              <w:t>Eligibility criteria</w:t>
            </w:r>
          </w:p>
        </w:tc>
        <w:tc>
          <w:tcPr>
            <w:tcW w:w="6645" w:type="dxa"/>
            <w:tcMar>
              <w:top w:w="100" w:type="dxa"/>
              <w:left w:w="100" w:type="dxa"/>
              <w:bottom w:w="100" w:type="dxa"/>
              <w:right w:w="100" w:type="dxa"/>
            </w:tcMar>
          </w:tcPr>
          <w:p w14:paraId="318144F6" w14:textId="77777777" w:rsidR="005B3875" w:rsidRDefault="00000000">
            <w:pPr>
              <w:spacing w:line="240" w:lineRule="auto"/>
              <w:rPr>
                <w:sz w:val="20"/>
                <w:szCs w:val="20"/>
              </w:rPr>
            </w:pPr>
            <w:r>
              <w:rPr>
                <w:sz w:val="20"/>
                <w:szCs w:val="20"/>
              </w:rPr>
              <w:t xml:space="preserve">Rules used to determine who is eligible to be included </w:t>
            </w:r>
            <w:proofErr w:type="gramStart"/>
            <w:r>
              <w:rPr>
                <w:sz w:val="20"/>
                <w:szCs w:val="20"/>
              </w:rPr>
              <w:t>in a given</w:t>
            </w:r>
            <w:proofErr w:type="gramEnd"/>
            <w:r>
              <w:rPr>
                <w:sz w:val="20"/>
                <w:szCs w:val="20"/>
              </w:rPr>
              <w:t xml:space="preserve"> study or analysis. Can also be called the “inclusion and exclusion criteria.”</w:t>
            </w:r>
          </w:p>
        </w:tc>
      </w:tr>
      <w:tr w:rsidR="005B3875" w14:paraId="1B8E6B6F" w14:textId="77777777">
        <w:tc>
          <w:tcPr>
            <w:tcW w:w="2715" w:type="dxa"/>
            <w:tcMar>
              <w:top w:w="100" w:type="dxa"/>
              <w:left w:w="100" w:type="dxa"/>
              <w:bottom w:w="100" w:type="dxa"/>
              <w:right w:w="100" w:type="dxa"/>
            </w:tcMar>
          </w:tcPr>
          <w:p w14:paraId="66FDC20E" w14:textId="77777777" w:rsidR="005B3875" w:rsidRDefault="00000000">
            <w:pPr>
              <w:spacing w:line="240" w:lineRule="auto"/>
              <w:rPr>
                <w:sz w:val="20"/>
                <w:szCs w:val="20"/>
              </w:rPr>
            </w:pPr>
            <w:r>
              <w:rPr>
                <w:sz w:val="20"/>
                <w:szCs w:val="20"/>
              </w:rPr>
              <w:t>Features</w:t>
            </w:r>
          </w:p>
        </w:tc>
        <w:tc>
          <w:tcPr>
            <w:tcW w:w="6645" w:type="dxa"/>
            <w:tcMar>
              <w:top w:w="100" w:type="dxa"/>
              <w:left w:w="100" w:type="dxa"/>
              <w:bottom w:w="100" w:type="dxa"/>
              <w:right w:w="100" w:type="dxa"/>
            </w:tcMar>
          </w:tcPr>
          <w:p w14:paraId="300A7099" w14:textId="77777777" w:rsidR="005B3875" w:rsidRDefault="00000000">
            <w:pPr>
              <w:spacing w:line="240" w:lineRule="auto"/>
              <w:rPr>
                <w:sz w:val="20"/>
                <w:szCs w:val="20"/>
              </w:rPr>
            </w:pPr>
            <w:r>
              <w:rPr>
                <w:sz w:val="20"/>
                <w:szCs w:val="20"/>
              </w:rPr>
              <w:t xml:space="preserve">The inputs fed into an ML model. (Based on the input features, the ML model outputs its estimated label.) This can also be called the “predictors” or “independent variables” in predictive modeling. </w:t>
            </w:r>
          </w:p>
        </w:tc>
      </w:tr>
      <w:tr w:rsidR="005B3875" w14:paraId="1B93D045" w14:textId="77777777">
        <w:tc>
          <w:tcPr>
            <w:tcW w:w="2715" w:type="dxa"/>
            <w:tcMar>
              <w:top w:w="100" w:type="dxa"/>
              <w:left w:w="100" w:type="dxa"/>
              <w:bottom w:w="100" w:type="dxa"/>
              <w:right w:w="100" w:type="dxa"/>
            </w:tcMar>
          </w:tcPr>
          <w:p w14:paraId="41BC5099" w14:textId="77777777" w:rsidR="005B3875" w:rsidRDefault="00000000">
            <w:pPr>
              <w:spacing w:line="240" w:lineRule="auto"/>
              <w:rPr>
                <w:sz w:val="20"/>
                <w:szCs w:val="20"/>
              </w:rPr>
            </w:pPr>
            <w:r>
              <w:rPr>
                <w:sz w:val="20"/>
                <w:szCs w:val="20"/>
              </w:rPr>
              <w:t>Fine-tuning</w:t>
            </w:r>
          </w:p>
        </w:tc>
        <w:tc>
          <w:tcPr>
            <w:tcW w:w="6645" w:type="dxa"/>
            <w:tcMar>
              <w:top w:w="100" w:type="dxa"/>
              <w:left w:w="100" w:type="dxa"/>
              <w:bottom w:w="100" w:type="dxa"/>
              <w:right w:w="100" w:type="dxa"/>
            </w:tcMar>
          </w:tcPr>
          <w:p w14:paraId="706CDE29" w14:textId="77777777" w:rsidR="005B3875" w:rsidRDefault="00000000">
            <w:pPr>
              <w:spacing w:line="240" w:lineRule="auto"/>
              <w:rPr>
                <w:sz w:val="20"/>
                <w:szCs w:val="20"/>
              </w:rPr>
            </w:pPr>
            <w:r>
              <w:rPr>
                <w:sz w:val="20"/>
                <w:szCs w:val="20"/>
              </w:rPr>
              <w:t>This describes a family of methods that allow an existing ML model to be further trained on a new, specific task using data the model was not originally trained on. An example is taking a model that detects everyday objects in photographs and “fine-tuning” it to recognize cancerous cells from digitized pathology slides. This process can also be referred to as “transfer learning.”</w:t>
            </w:r>
          </w:p>
        </w:tc>
      </w:tr>
      <w:tr w:rsidR="005B3875" w14:paraId="4BE85914" w14:textId="77777777">
        <w:tc>
          <w:tcPr>
            <w:tcW w:w="2715" w:type="dxa"/>
            <w:tcMar>
              <w:top w:w="100" w:type="dxa"/>
              <w:left w:w="100" w:type="dxa"/>
              <w:bottom w:w="100" w:type="dxa"/>
              <w:right w:w="100" w:type="dxa"/>
            </w:tcMar>
          </w:tcPr>
          <w:p w14:paraId="10A9A6D5" w14:textId="77777777" w:rsidR="005B3875" w:rsidRDefault="00000000">
            <w:pPr>
              <w:spacing w:line="240" w:lineRule="auto"/>
              <w:rPr>
                <w:sz w:val="20"/>
                <w:szCs w:val="20"/>
              </w:rPr>
            </w:pPr>
            <w:r>
              <w:rPr>
                <w:sz w:val="20"/>
                <w:szCs w:val="20"/>
              </w:rPr>
              <w:t>Follow-up</w:t>
            </w:r>
          </w:p>
        </w:tc>
        <w:tc>
          <w:tcPr>
            <w:tcW w:w="6645" w:type="dxa"/>
            <w:tcMar>
              <w:top w:w="100" w:type="dxa"/>
              <w:left w:w="100" w:type="dxa"/>
              <w:bottom w:w="100" w:type="dxa"/>
              <w:right w:w="100" w:type="dxa"/>
            </w:tcMar>
          </w:tcPr>
          <w:p w14:paraId="577202F5" w14:textId="77777777" w:rsidR="005B3875" w:rsidRDefault="00000000">
            <w:pPr>
              <w:spacing w:line="240" w:lineRule="auto"/>
              <w:rPr>
                <w:sz w:val="20"/>
                <w:szCs w:val="20"/>
              </w:rPr>
            </w:pPr>
            <w:r>
              <w:rPr>
                <w:sz w:val="20"/>
                <w:szCs w:val="20"/>
              </w:rPr>
              <w:t>Refers to the time during which a participant is in a study or dataset and changes in their health are “observable” to the researchers. For example, we can say the follow-up period has ended for an individual if they’ve died, stop responding, leave the study or dataset, or the study ends/stops collecting data.</w:t>
            </w:r>
          </w:p>
        </w:tc>
      </w:tr>
      <w:tr w:rsidR="005B3875" w14:paraId="0EDAF859" w14:textId="77777777">
        <w:tc>
          <w:tcPr>
            <w:tcW w:w="2715" w:type="dxa"/>
            <w:tcMar>
              <w:top w:w="100" w:type="dxa"/>
              <w:left w:w="100" w:type="dxa"/>
              <w:bottom w:w="100" w:type="dxa"/>
              <w:right w:w="100" w:type="dxa"/>
            </w:tcMar>
          </w:tcPr>
          <w:p w14:paraId="2BAE3992" w14:textId="77777777" w:rsidR="005B3875" w:rsidRDefault="00000000">
            <w:pPr>
              <w:spacing w:line="240" w:lineRule="auto"/>
              <w:rPr>
                <w:sz w:val="20"/>
                <w:szCs w:val="20"/>
              </w:rPr>
            </w:pPr>
            <w:r>
              <w:rPr>
                <w:sz w:val="20"/>
                <w:szCs w:val="20"/>
              </w:rPr>
              <w:lastRenderedPageBreak/>
              <w:t>Hyperparameter</w:t>
            </w:r>
          </w:p>
        </w:tc>
        <w:tc>
          <w:tcPr>
            <w:tcW w:w="6645" w:type="dxa"/>
            <w:tcMar>
              <w:top w:w="100" w:type="dxa"/>
              <w:left w:w="100" w:type="dxa"/>
              <w:bottom w:w="100" w:type="dxa"/>
              <w:right w:w="100" w:type="dxa"/>
            </w:tcMar>
          </w:tcPr>
          <w:p w14:paraId="55E35FB1" w14:textId="77777777" w:rsidR="005B3875" w:rsidRDefault="00000000">
            <w:pPr>
              <w:spacing w:line="240" w:lineRule="auto"/>
              <w:rPr>
                <w:sz w:val="20"/>
                <w:szCs w:val="20"/>
              </w:rPr>
            </w:pPr>
            <w:r>
              <w:rPr>
                <w:sz w:val="20"/>
                <w:szCs w:val="20"/>
              </w:rPr>
              <w:t>Design choices in the structure or behavior of the ML algorithm. The number of layers in a neural network, the number of knots in a spline regression, and the learning rate are all examples of hyperparameters.</w:t>
            </w:r>
          </w:p>
        </w:tc>
      </w:tr>
      <w:tr w:rsidR="005B3875" w14:paraId="2DF074B0" w14:textId="77777777">
        <w:tc>
          <w:tcPr>
            <w:tcW w:w="2715" w:type="dxa"/>
            <w:tcMar>
              <w:top w:w="100" w:type="dxa"/>
              <w:left w:w="100" w:type="dxa"/>
              <w:bottom w:w="100" w:type="dxa"/>
              <w:right w:w="100" w:type="dxa"/>
            </w:tcMar>
          </w:tcPr>
          <w:p w14:paraId="01762928" w14:textId="77777777" w:rsidR="005B3875" w:rsidRDefault="00000000">
            <w:pPr>
              <w:spacing w:line="240" w:lineRule="auto"/>
              <w:rPr>
                <w:sz w:val="20"/>
                <w:szCs w:val="20"/>
              </w:rPr>
            </w:pPr>
            <w:r>
              <w:rPr>
                <w:sz w:val="20"/>
                <w:szCs w:val="20"/>
              </w:rPr>
              <w:t>Label</w:t>
            </w:r>
          </w:p>
        </w:tc>
        <w:tc>
          <w:tcPr>
            <w:tcW w:w="6645" w:type="dxa"/>
            <w:tcMar>
              <w:top w:w="100" w:type="dxa"/>
              <w:left w:w="100" w:type="dxa"/>
              <w:bottom w:w="100" w:type="dxa"/>
              <w:right w:w="100" w:type="dxa"/>
            </w:tcMar>
          </w:tcPr>
          <w:p w14:paraId="2D158733" w14:textId="77777777" w:rsidR="005B3875" w:rsidRDefault="00000000">
            <w:pPr>
              <w:spacing w:line="240" w:lineRule="auto"/>
              <w:rPr>
                <w:sz w:val="20"/>
                <w:szCs w:val="20"/>
              </w:rPr>
            </w:pPr>
            <w:r>
              <w:rPr>
                <w:sz w:val="20"/>
                <w:szCs w:val="20"/>
              </w:rPr>
              <w:t>When training an ML model, this term is used to describe the “ground truth” (or desired/correct output) of the model. This can also be called “dependent variable” or “outcome” in predictive modeling.</w:t>
            </w:r>
          </w:p>
        </w:tc>
      </w:tr>
      <w:tr w:rsidR="005B3875" w14:paraId="589D60A7" w14:textId="77777777">
        <w:tc>
          <w:tcPr>
            <w:tcW w:w="2715" w:type="dxa"/>
            <w:tcMar>
              <w:top w:w="100" w:type="dxa"/>
              <w:left w:w="100" w:type="dxa"/>
              <w:bottom w:w="100" w:type="dxa"/>
              <w:right w:w="100" w:type="dxa"/>
            </w:tcMar>
          </w:tcPr>
          <w:p w14:paraId="7CB95C03" w14:textId="77777777" w:rsidR="005B3875" w:rsidRDefault="00000000">
            <w:pPr>
              <w:spacing w:line="240" w:lineRule="auto"/>
              <w:rPr>
                <w:sz w:val="20"/>
                <w:szCs w:val="20"/>
              </w:rPr>
            </w:pPr>
            <w:r>
              <w:rPr>
                <w:sz w:val="20"/>
                <w:szCs w:val="20"/>
              </w:rPr>
              <w:t>Machine learning (ML)</w:t>
            </w:r>
          </w:p>
        </w:tc>
        <w:tc>
          <w:tcPr>
            <w:tcW w:w="6645" w:type="dxa"/>
            <w:tcMar>
              <w:top w:w="100" w:type="dxa"/>
              <w:left w:w="100" w:type="dxa"/>
              <w:bottom w:w="100" w:type="dxa"/>
              <w:right w:w="100" w:type="dxa"/>
            </w:tcMar>
          </w:tcPr>
          <w:p w14:paraId="6E0BE000" w14:textId="77777777" w:rsidR="005B3875" w:rsidRDefault="00000000">
            <w:pPr>
              <w:spacing w:line="240" w:lineRule="auto"/>
              <w:rPr>
                <w:sz w:val="20"/>
                <w:szCs w:val="20"/>
              </w:rPr>
            </w:pPr>
            <w:r>
              <w:rPr>
                <w:sz w:val="20"/>
                <w:szCs w:val="20"/>
              </w:rPr>
              <w:t>Machine learning is a subset of AI that involves learning from data (in contrast to forms of AI that provide the computer with a set of rules to follow). Regression models, principal components analysis, deep learning, and large language models are all forms of ML.</w:t>
            </w:r>
          </w:p>
        </w:tc>
      </w:tr>
      <w:tr w:rsidR="005B3875" w14:paraId="415507B9" w14:textId="77777777">
        <w:tc>
          <w:tcPr>
            <w:tcW w:w="2715" w:type="dxa"/>
            <w:tcMar>
              <w:top w:w="100" w:type="dxa"/>
              <w:left w:w="100" w:type="dxa"/>
              <w:bottom w:w="100" w:type="dxa"/>
              <w:right w:w="100" w:type="dxa"/>
            </w:tcMar>
          </w:tcPr>
          <w:p w14:paraId="2891BBDD" w14:textId="77777777" w:rsidR="005B3875" w:rsidRDefault="00000000">
            <w:pPr>
              <w:spacing w:line="240" w:lineRule="auto"/>
              <w:rPr>
                <w:sz w:val="20"/>
                <w:szCs w:val="20"/>
              </w:rPr>
            </w:pPr>
            <w:r>
              <w:rPr>
                <w:sz w:val="20"/>
                <w:szCs w:val="20"/>
              </w:rPr>
              <w:t>Model card</w:t>
            </w:r>
          </w:p>
        </w:tc>
        <w:tc>
          <w:tcPr>
            <w:tcW w:w="6645" w:type="dxa"/>
            <w:tcMar>
              <w:top w:w="100" w:type="dxa"/>
              <w:left w:w="100" w:type="dxa"/>
              <w:bottom w:w="100" w:type="dxa"/>
              <w:right w:w="100" w:type="dxa"/>
            </w:tcMar>
          </w:tcPr>
          <w:p w14:paraId="79E0D4EA" w14:textId="77777777" w:rsidR="005B3875" w:rsidRDefault="00000000">
            <w:pPr>
              <w:spacing w:line="240" w:lineRule="auto"/>
              <w:rPr>
                <w:sz w:val="20"/>
                <w:szCs w:val="20"/>
              </w:rPr>
            </w:pPr>
            <w:r>
              <w:rPr>
                <w:sz w:val="20"/>
                <w:szCs w:val="20"/>
              </w:rPr>
              <w:t xml:space="preserve">A short, structured summary document that accompanies a model, typically describing its intended use, the data it was trained on, its performance across relevant populations, and its known limitations. Model cards are not a required element of a </w:t>
            </w:r>
            <w:proofErr w:type="gramStart"/>
            <w:r>
              <w:rPr>
                <w:sz w:val="20"/>
                <w:szCs w:val="20"/>
              </w:rPr>
              <w:t>protocol, but</w:t>
            </w:r>
            <w:proofErr w:type="gramEnd"/>
            <w:r>
              <w:rPr>
                <w:sz w:val="20"/>
                <w:szCs w:val="20"/>
              </w:rPr>
              <w:t xml:space="preserve"> can be referenced or included as an Appendix where one is available.</w:t>
            </w:r>
          </w:p>
        </w:tc>
      </w:tr>
      <w:tr w:rsidR="005B3875" w14:paraId="3588DB0C" w14:textId="77777777">
        <w:tc>
          <w:tcPr>
            <w:tcW w:w="2715" w:type="dxa"/>
            <w:tcMar>
              <w:top w:w="100" w:type="dxa"/>
              <w:left w:w="100" w:type="dxa"/>
              <w:bottom w:w="100" w:type="dxa"/>
              <w:right w:w="100" w:type="dxa"/>
            </w:tcMar>
          </w:tcPr>
          <w:p w14:paraId="761621A4" w14:textId="77777777" w:rsidR="005B3875" w:rsidRDefault="00000000">
            <w:pPr>
              <w:spacing w:line="240" w:lineRule="auto"/>
              <w:rPr>
                <w:sz w:val="20"/>
                <w:szCs w:val="20"/>
              </w:rPr>
            </w:pPr>
            <w:r>
              <w:rPr>
                <w:sz w:val="20"/>
                <w:szCs w:val="20"/>
              </w:rPr>
              <w:t>Model drift</w:t>
            </w:r>
          </w:p>
        </w:tc>
        <w:tc>
          <w:tcPr>
            <w:tcW w:w="6645" w:type="dxa"/>
            <w:tcMar>
              <w:top w:w="100" w:type="dxa"/>
              <w:left w:w="100" w:type="dxa"/>
              <w:bottom w:w="100" w:type="dxa"/>
              <w:right w:w="100" w:type="dxa"/>
            </w:tcMar>
          </w:tcPr>
          <w:p w14:paraId="4A157DD3" w14:textId="77777777" w:rsidR="005B3875" w:rsidRDefault="00000000">
            <w:pPr>
              <w:spacing w:line="240" w:lineRule="auto"/>
              <w:rPr>
                <w:sz w:val="20"/>
                <w:szCs w:val="20"/>
              </w:rPr>
            </w:pPr>
            <w:r>
              <w:rPr>
                <w:sz w:val="20"/>
                <w:szCs w:val="20"/>
              </w:rPr>
              <w:t>Degradation in a model’s performance over time following deployment, arising when the data the model encounters in practice diverges from the data it was trained on. This can result from changes in clinical practice, coding systems, patient case-mix, or the underlying data pipeline.</w:t>
            </w:r>
          </w:p>
        </w:tc>
      </w:tr>
      <w:tr w:rsidR="005B3875" w14:paraId="793B219F" w14:textId="77777777">
        <w:tc>
          <w:tcPr>
            <w:tcW w:w="2715" w:type="dxa"/>
            <w:tcMar>
              <w:top w:w="100" w:type="dxa"/>
              <w:left w:w="100" w:type="dxa"/>
              <w:bottom w:w="100" w:type="dxa"/>
              <w:right w:w="100" w:type="dxa"/>
            </w:tcMar>
          </w:tcPr>
          <w:p w14:paraId="5E483B91" w14:textId="77777777" w:rsidR="005B3875" w:rsidRDefault="00000000">
            <w:pPr>
              <w:spacing w:line="240" w:lineRule="auto"/>
              <w:rPr>
                <w:sz w:val="20"/>
                <w:szCs w:val="20"/>
              </w:rPr>
            </w:pPr>
            <w:r>
              <w:rPr>
                <w:sz w:val="20"/>
                <w:szCs w:val="20"/>
              </w:rPr>
              <w:t>Model evaluation</w:t>
            </w:r>
          </w:p>
        </w:tc>
        <w:tc>
          <w:tcPr>
            <w:tcW w:w="6645" w:type="dxa"/>
            <w:tcMar>
              <w:top w:w="100" w:type="dxa"/>
              <w:left w:w="100" w:type="dxa"/>
              <w:bottom w:w="100" w:type="dxa"/>
              <w:right w:w="100" w:type="dxa"/>
            </w:tcMar>
          </w:tcPr>
          <w:p w14:paraId="14220C36" w14:textId="77777777" w:rsidR="005B3875" w:rsidRDefault="00000000">
            <w:pPr>
              <w:spacing w:line="240" w:lineRule="auto"/>
              <w:rPr>
                <w:sz w:val="20"/>
                <w:szCs w:val="20"/>
              </w:rPr>
            </w:pPr>
            <w:r>
              <w:rPr>
                <w:sz w:val="20"/>
                <w:szCs w:val="20"/>
              </w:rPr>
              <w:t>Model evaluation assesses the performance of a model (or tool that incorporates a model) on data that the model was not trained on.  “Performance” can include a broad range of metrics that inform us about the safety, efficacy, efficiency, or other aspects of interest for the use case or problem the tool/model addresses.</w:t>
            </w:r>
          </w:p>
        </w:tc>
      </w:tr>
      <w:tr w:rsidR="005B3875" w14:paraId="52E7C036" w14:textId="77777777">
        <w:tc>
          <w:tcPr>
            <w:tcW w:w="2715" w:type="dxa"/>
            <w:tcMar>
              <w:top w:w="100" w:type="dxa"/>
              <w:left w:w="100" w:type="dxa"/>
              <w:bottom w:w="100" w:type="dxa"/>
              <w:right w:w="100" w:type="dxa"/>
            </w:tcMar>
          </w:tcPr>
          <w:p w14:paraId="6C85BED4" w14:textId="77777777" w:rsidR="005B3875" w:rsidRDefault="00000000">
            <w:pPr>
              <w:spacing w:line="240" w:lineRule="auto"/>
              <w:rPr>
                <w:sz w:val="20"/>
                <w:szCs w:val="20"/>
              </w:rPr>
            </w:pPr>
            <w:r>
              <w:rPr>
                <w:sz w:val="20"/>
                <w:szCs w:val="20"/>
              </w:rPr>
              <w:t>Model training</w:t>
            </w:r>
          </w:p>
        </w:tc>
        <w:tc>
          <w:tcPr>
            <w:tcW w:w="6645" w:type="dxa"/>
            <w:tcMar>
              <w:top w:w="100" w:type="dxa"/>
              <w:left w:w="100" w:type="dxa"/>
              <w:bottom w:w="100" w:type="dxa"/>
              <w:right w:w="100" w:type="dxa"/>
            </w:tcMar>
          </w:tcPr>
          <w:p w14:paraId="61F6C4C6" w14:textId="77777777" w:rsidR="005B3875" w:rsidRDefault="00000000">
            <w:pPr>
              <w:spacing w:line="240" w:lineRule="auto"/>
              <w:rPr>
                <w:sz w:val="20"/>
                <w:szCs w:val="20"/>
              </w:rPr>
            </w:pPr>
            <w:r>
              <w:rPr>
                <w:sz w:val="20"/>
                <w:szCs w:val="20"/>
              </w:rPr>
              <w:t xml:space="preserve">Typically, model training is the process of developing an algorithm based on data inputs (i.e., ‘features’) and desired outputs (i.e., ‘labels’). For many use cases, this will involve an iterative process where the researcher or developer makes changes to the structure or behavior of the algorithm by experimenting with different design choices </w:t>
            </w:r>
            <w:proofErr w:type="gramStart"/>
            <w:r>
              <w:rPr>
                <w:sz w:val="20"/>
                <w:szCs w:val="20"/>
              </w:rPr>
              <w:t>or  ‘</w:t>
            </w:r>
            <w:proofErr w:type="gramEnd"/>
            <w:r>
              <w:rPr>
                <w:sz w:val="20"/>
                <w:szCs w:val="20"/>
              </w:rPr>
              <w:t>hyperparameters’.</w:t>
            </w:r>
          </w:p>
        </w:tc>
      </w:tr>
      <w:tr w:rsidR="005B3875" w14:paraId="72D7B5E2" w14:textId="77777777">
        <w:tc>
          <w:tcPr>
            <w:tcW w:w="2715" w:type="dxa"/>
            <w:tcMar>
              <w:top w:w="100" w:type="dxa"/>
              <w:left w:w="100" w:type="dxa"/>
              <w:bottom w:w="100" w:type="dxa"/>
              <w:right w:w="100" w:type="dxa"/>
            </w:tcMar>
          </w:tcPr>
          <w:p w14:paraId="1FC5C11E" w14:textId="77777777" w:rsidR="005B3875" w:rsidRDefault="00000000">
            <w:pPr>
              <w:spacing w:line="240" w:lineRule="auto"/>
              <w:rPr>
                <w:sz w:val="20"/>
                <w:szCs w:val="20"/>
              </w:rPr>
            </w:pPr>
            <w:r>
              <w:rPr>
                <w:sz w:val="20"/>
                <w:szCs w:val="20"/>
              </w:rPr>
              <w:lastRenderedPageBreak/>
              <w:t>Patient and public involvement (PPI)</w:t>
            </w:r>
          </w:p>
        </w:tc>
        <w:tc>
          <w:tcPr>
            <w:tcW w:w="6645" w:type="dxa"/>
            <w:tcMar>
              <w:top w:w="100" w:type="dxa"/>
              <w:left w:w="100" w:type="dxa"/>
              <w:bottom w:w="100" w:type="dxa"/>
              <w:right w:w="100" w:type="dxa"/>
            </w:tcMar>
          </w:tcPr>
          <w:p w14:paraId="008E6C27" w14:textId="77777777" w:rsidR="005B3875" w:rsidRDefault="00000000">
            <w:pPr>
              <w:spacing w:line="240" w:lineRule="auto"/>
              <w:rPr>
                <w:sz w:val="20"/>
                <w:szCs w:val="20"/>
              </w:rPr>
            </w:pPr>
            <w:r>
              <w:rPr>
                <w:sz w:val="20"/>
                <w:szCs w:val="20"/>
              </w:rPr>
              <w:t>Research carried out with or by patients, carers, or members of the public, rather than about or for them. It can include involvement in developing the research question, selecting outcomes or evaluation metrics, designing or conducting the study, or interpreting and disseminating the results.</w:t>
            </w:r>
          </w:p>
        </w:tc>
      </w:tr>
      <w:tr w:rsidR="005B3875" w14:paraId="656D95FA" w14:textId="77777777">
        <w:tc>
          <w:tcPr>
            <w:tcW w:w="2715" w:type="dxa"/>
            <w:tcMar>
              <w:top w:w="100" w:type="dxa"/>
              <w:left w:w="100" w:type="dxa"/>
              <w:bottom w:w="100" w:type="dxa"/>
              <w:right w:w="100" w:type="dxa"/>
            </w:tcMar>
          </w:tcPr>
          <w:p w14:paraId="58699543" w14:textId="77777777" w:rsidR="005B3875" w:rsidRDefault="00000000">
            <w:pPr>
              <w:spacing w:line="240" w:lineRule="auto"/>
              <w:rPr>
                <w:sz w:val="20"/>
                <w:szCs w:val="20"/>
              </w:rPr>
            </w:pPr>
            <w:r>
              <w:rPr>
                <w:sz w:val="20"/>
                <w:szCs w:val="20"/>
              </w:rPr>
              <w:t>Randomized trial</w:t>
            </w:r>
          </w:p>
        </w:tc>
        <w:tc>
          <w:tcPr>
            <w:tcW w:w="6645" w:type="dxa"/>
            <w:tcMar>
              <w:top w:w="100" w:type="dxa"/>
              <w:left w:w="100" w:type="dxa"/>
              <w:bottom w:w="100" w:type="dxa"/>
              <w:right w:w="100" w:type="dxa"/>
            </w:tcMar>
          </w:tcPr>
          <w:p w14:paraId="659021CD" w14:textId="77777777" w:rsidR="005B3875" w:rsidRDefault="00000000">
            <w:pPr>
              <w:spacing w:line="240" w:lineRule="auto"/>
              <w:rPr>
                <w:sz w:val="20"/>
                <w:szCs w:val="20"/>
              </w:rPr>
            </w:pPr>
            <w:r>
              <w:rPr>
                <w:sz w:val="20"/>
                <w:szCs w:val="20"/>
              </w:rPr>
              <w:t xml:space="preserve">A study in which the investigators randomly assign participants groups with different interventions, with the goal of evaluating the impact of the interventions. A well-designed randomized trial is often considered the most </w:t>
            </w:r>
            <w:proofErr w:type="gramStart"/>
            <w:r>
              <w:rPr>
                <w:sz w:val="20"/>
                <w:szCs w:val="20"/>
              </w:rPr>
              <w:t>scientifically-rigorous</w:t>
            </w:r>
            <w:proofErr w:type="gramEnd"/>
            <w:r>
              <w:rPr>
                <w:sz w:val="20"/>
                <w:szCs w:val="20"/>
              </w:rPr>
              <w:t xml:space="preserve"> evidence of how safe or effective a medical product is. Also called “A/B testing” in other fields.</w:t>
            </w:r>
          </w:p>
        </w:tc>
      </w:tr>
      <w:tr w:rsidR="005B3875" w14:paraId="6DBF6A35" w14:textId="77777777">
        <w:tc>
          <w:tcPr>
            <w:tcW w:w="2715" w:type="dxa"/>
            <w:tcMar>
              <w:top w:w="100" w:type="dxa"/>
              <w:left w:w="100" w:type="dxa"/>
              <w:bottom w:w="100" w:type="dxa"/>
              <w:right w:w="100" w:type="dxa"/>
            </w:tcMar>
          </w:tcPr>
          <w:p w14:paraId="381F963A" w14:textId="77777777" w:rsidR="005B3875" w:rsidRDefault="00000000">
            <w:pPr>
              <w:spacing w:line="240" w:lineRule="auto"/>
              <w:rPr>
                <w:sz w:val="20"/>
                <w:szCs w:val="20"/>
              </w:rPr>
            </w:pPr>
            <w:r>
              <w:rPr>
                <w:sz w:val="20"/>
                <w:szCs w:val="20"/>
              </w:rPr>
              <w:t>Raters</w:t>
            </w:r>
          </w:p>
        </w:tc>
        <w:tc>
          <w:tcPr>
            <w:tcW w:w="6645" w:type="dxa"/>
            <w:tcMar>
              <w:top w:w="100" w:type="dxa"/>
              <w:left w:w="100" w:type="dxa"/>
              <w:bottom w:w="100" w:type="dxa"/>
              <w:right w:w="100" w:type="dxa"/>
            </w:tcMar>
          </w:tcPr>
          <w:p w14:paraId="2ED2F2F5" w14:textId="77777777" w:rsidR="005B3875" w:rsidRDefault="00000000">
            <w:pPr>
              <w:spacing w:line="240" w:lineRule="auto"/>
              <w:rPr>
                <w:sz w:val="20"/>
                <w:szCs w:val="20"/>
              </w:rPr>
            </w:pPr>
            <w:r>
              <w:rPr>
                <w:sz w:val="20"/>
                <w:szCs w:val="20"/>
              </w:rPr>
              <w:t>A human rater evaluates the quality of the output from an ML model. Typically, they will provide this assessment in a structured way, according to a rubric, scale, or other guidance from the researchers conducting the study.</w:t>
            </w:r>
          </w:p>
        </w:tc>
      </w:tr>
      <w:tr w:rsidR="005B3875" w14:paraId="16BDD4CF" w14:textId="77777777">
        <w:tc>
          <w:tcPr>
            <w:tcW w:w="2715" w:type="dxa"/>
            <w:tcMar>
              <w:top w:w="100" w:type="dxa"/>
              <w:left w:w="100" w:type="dxa"/>
              <w:bottom w:w="100" w:type="dxa"/>
              <w:right w:w="100" w:type="dxa"/>
            </w:tcMar>
          </w:tcPr>
          <w:p w14:paraId="635A5ED9" w14:textId="77777777" w:rsidR="005B3875" w:rsidRDefault="00000000">
            <w:pPr>
              <w:spacing w:line="240" w:lineRule="auto"/>
              <w:rPr>
                <w:sz w:val="20"/>
                <w:szCs w:val="20"/>
              </w:rPr>
            </w:pPr>
            <w:r>
              <w:rPr>
                <w:sz w:val="20"/>
                <w:szCs w:val="20"/>
              </w:rPr>
              <w:t>Traceability</w:t>
            </w:r>
          </w:p>
        </w:tc>
        <w:tc>
          <w:tcPr>
            <w:tcW w:w="6645" w:type="dxa"/>
            <w:tcMar>
              <w:top w:w="100" w:type="dxa"/>
              <w:left w:w="100" w:type="dxa"/>
              <w:bottom w:w="100" w:type="dxa"/>
              <w:right w:w="100" w:type="dxa"/>
            </w:tcMar>
          </w:tcPr>
          <w:p w14:paraId="1CF5A4BE" w14:textId="77777777" w:rsidR="005B3875" w:rsidRDefault="00000000">
            <w:pPr>
              <w:spacing w:line="240" w:lineRule="auto"/>
              <w:rPr>
                <w:sz w:val="20"/>
                <w:szCs w:val="20"/>
              </w:rPr>
            </w:pPr>
            <w:r>
              <w:rPr>
                <w:sz w:val="20"/>
                <w:szCs w:val="20"/>
              </w:rPr>
              <w:t>The ability to reconstruct, after the fact, which version of a model produced a given output and on what data. It is supported by mechanisms such as audit logs, version control for models and datasets, and records of model updates.</w:t>
            </w:r>
          </w:p>
        </w:tc>
      </w:tr>
    </w:tbl>
    <w:p w14:paraId="0B99BD21" w14:textId="77777777" w:rsidR="005B3875" w:rsidRDefault="00000000">
      <w:pPr>
        <w:pStyle w:val="Heading2"/>
      </w:pPr>
      <w:bookmarkStart w:id="4" w:name="_h27da3jlhf8b" w:colFirst="0" w:colLast="0"/>
      <w:bookmarkEnd w:id="4"/>
      <w:r>
        <w:t>Acknowledgements</w:t>
      </w:r>
    </w:p>
    <w:p w14:paraId="23F949BF" w14:textId="77777777" w:rsidR="005B3875" w:rsidRDefault="00000000">
      <w:pPr>
        <w:spacing w:after="200"/>
        <w:rPr>
          <w:i/>
          <w:iCs/>
          <w:color w:val="4A86E8"/>
        </w:rPr>
      </w:pPr>
      <w:r>
        <w:rPr>
          <w:i/>
          <w:iCs/>
          <w:color w:val="4A86E8"/>
        </w:rPr>
        <w:t xml:space="preserve">This template was created and revised based on input from John Diaz-Decaro, Harriet Dickinson, Hozefa Divan, </w:t>
      </w:r>
      <w:proofErr w:type="spellStart"/>
      <w:r>
        <w:rPr>
          <w:i/>
          <w:iCs/>
          <w:color w:val="4A86E8"/>
        </w:rPr>
        <w:t>Nivantha</w:t>
      </w:r>
      <w:proofErr w:type="spellEnd"/>
      <w:r>
        <w:rPr>
          <w:i/>
          <w:iCs/>
          <w:color w:val="4A86E8"/>
        </w:rPr>
        <w:t xml:space="preserve"> Naidoo, Kathryn Rough, Veronique Shiwa, Meredith Smith, Elizabeth Stettenbauer, Dana Teltsch, and Sarah Welby.</w:t>
      </w:r>
    </w:p>
    <w:p w14:paraId="2D8EE50D" w14:textId="77777777" w:rsidR="005B3875" w:rsidRDefault="005B3875"/>
    <w:sectPr w:rsidR="005B3875">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BE55F2" w14:textId="77777777" w:rsidR="00C04BEF" w:rsidRDefault="00C04BEF">
      <w:pPr>
        <w:spacing w:line="240" w:lineRule="auto"/>
      </w:pPr>
      <w:r>
        <w:separator/>
      </w:r>
    </w:p>
  </w:endnote>
  <w:endnote w:type="continuationSeparator" w:id="0">
    <w:p w14:paraId="7A6D1032" w14:textId="77777777" w:rsidR="00C04BEF" w:rsidRDefault="00C04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0000500000000000000"/>
    <w:charset w:val="4D"/>
    <w:family w:val="auto"/>
    <w:pitch w:val="variable"/>
    <w:sig w:usb0="00008007" w:usb1="00000000" w:usb2="00000000" w:usb3="00000000" w:csb0="00000093" w:csb1="00000000"/>
    <w:embedRegular r:id="rId1" w:fontKey="{C3E16D02-75B9-FC46-A651-E2AD9CAE0760}"/>
    <w:embedBold r:id="rId2" w:fontKey="{6D00CB16-B129-F742-9C09-55F79F5AE3D6}"/>
    <w:embedItalic r:id="rId3" w:fontKey="{39DD15EF-DEF7-9B4B-AC3C-8E60462040CC}"/>
    <w:embedBoldItalic r:id="rId4" w:fontKey="{DFA7FDD9-D604-1741-9C35-EC6D2F50AE6D}"/>
  </w:font>
  <w:font w:name="Times New Roman">
    <w:panose1 w:val="02020603050405020304"/>
    <w:charset w:val="00"/>
    <w:family w:val="roman"/>
    <w:pitch w:val="variable"/>
    <w:sig w:usb0="E0002EFF" w:usb1="C000785B" w:usb2="00000009" w:usb3="00000000" w:csb0="000001FF" w:csb1="00000000"/>
    <w:embedRegular r:id="rId5" w:fontKey="{32C2925B-75F4-EE4B-82DA-AED8EBBF7133}"/>
  </w:font>
  <w:font w:name="Arial">
    <w:panose1 w:val="020B0604020202020204"/>
    <w:charset w:val="00"/>
    <w:family w:val="swiss"/>
    <w:pitch w:val="variable"/>
    <w:sig w:usb0="E0002AFF" w:usb1="C0007843" w:usb2="00000009" w:usb3="00000000" w:csb0="000001FF" w:csb1="00000000"/>
    <w:embedRegular r:id="rId6" w:fontKey="{FFF44EE3-9DBB-0141-B17D-9BAB80874687}"/>
  </w:font>
  <w:font w:name="Calibri">
    <w:panose1 w:val="020F0502020204030204"/>
    <w:charset w:val="00"/>
    <w:family w:val="swiss"/>
    <w:pitch w:val="variable"/>
    <w:sig w:usb0="E0002AFF" w:usb1="C000247B" w:usb2="00000009" w:usb3="00000000" w:csb0="000001FF" w:csb1="00000000"/>
    <w:embedRegular r:id="rId7" w:fontKey="{7CCC9E32-FD0D-B843-9A3F-6D9C03D1B6C7}"/>
  </w:font>
  <w:font w:name="Cambria">
    <w:panose1 w:val="02040503050406030204"/>
    <w:charset w:val="00"/>
    <w:family w:val="roman"/>
    <w:pitch w:val="variable"/>
    <w:sig w:usb0="E00002FF" w:usb1="400004FF" w:usb2="00000000" w:usb3="00000000" w:csb0="0000019F" w:csb1="00000000"/>
    <w:embedRegular r:id="rId8" w:fontKey="{A6FFF4E2-A01D-2046-837F-55D065C7F8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819D1" w14:textId="274DCB65" w:rsidR="005B3875" w:rsidRDefault="00000000">
    <w:pPr>
      <w:tabs>
        <w:tab w:val="right" w:pos="9360"/>
      </w:tabs>
      <w:rPr>
        <w:i/>
        <w:iCs/>
        <w:color w:val="666666"/>
      </w:rPr>
    </w:pPr>
    <w:r>
      <w:rPr>
        <w:i/>
        <w:iCs/>
        <w:color w:val="999999"/>
      </w:rPr>
      <w:t>AI4HM Protocol Template v0.3</w:t>
    </w:r>
    <w:r>
      <w:rPr>
        <w:i/>
        <w:iCs/>
        <w:color w:val="999999"/>
      </w:rPr>
      <w:tab/>
      <w:t xml:space="preserve">Page </w:t>
    </w:r>
    <w:r>
      <w:rPr>
        <w:i/>
        <w:iCs/>
        <w:color w:val="999999"/>
      </w:rPr>
      <w:fldChar w:fldCharType="begin"/>
    </w:r>
    <w:r>
      <w:rPr>
        <w:i/>
        <w:iCs/>
        <w:color w:val="999999"/>
      </w:rPr>
      <w:instrText xml:space="preserve"> PAGE </w:instrText>
    </w:r>
    <w:r>
      <w:rPr>
        <w:i/>
        <w:iCs/>
        <w:color w:val="999999"/>
      </w:rPr>
      <w:fldChar w:fldCharType="separate"/>
    </w:r>
    <w:r>
      <w:rPr>
        <w:i/>
        <w:iCs/>
        <w:color w:val="999999"/>
      </w:rPr>
      <w:t>1</w:t>
    </w:r>
    <w:r>
      <w:rPr>
        <w:i/>
        <w:iCs/>
        <w:color w:val="999999"/>
      </w:rPr>
      <w:fldChar w:fldCharType="end"/>
    </w:r>
    <w:r>
      <w:rPr>
        <w:i/>
        <w:iCs/>
        <w:color w:val="999999"/>
      </w:rPr>
      <w:t xml:space="preserve"> of </w:t>
    </w:r>
    <w:r>
      <w:rPr>
        <w:i/>
        <w:iCs/>
        <w:color w:val="999999"/>
      </w:rPr>
      <w:fldChar w:fldCharType="begin"/>
    </w:r>
    <w:r>
      <w:rPr>
        <w:i/>
        <w:iCs/>
        <w:color w:val="999999"/>
      </w:rPr>
      <w:instrText xml:space="preserve"> NUMPAGES </w:instrText>
    </w:r>
    <w:r>
      <w:rPr>
        <w:i/>
        <w:iCs/>
        <w:color w:val="999999"/>
      </w:rPr>
      <w:fldChar w:fldCharType="separate"/>
    </w:r>
    <w:r>
      <w:rPr>
        <w:i/>
        <w:iCs/>
        <w:color w:val="999999"/>
      </w:rPr>
      <w:t>1</w:t>
    </w:r>
    <w:r>
      <w:rPr>
        <w:i/>
        <w:iCs/>
        <w:color w:val="99999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85598" w14:textId="77777777" w:rsidR="005B3875" w:rsidRDefault="005B38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7FE403" w14:textId="77777777" w:rsidR="00C04BEF" w:rsidRDefault="00C04BEF">
      <w:pPr>
        <w:spacing w:line="240" w:lineRule="auto"/>
      </w:pPr>
      <w:r>
        <w:separator/>
      </w:r>
    </w:p>
  </w:footnote>
  <w:footnote w:type="continuationSeparator" w:id="0">
    <w:p w14:paraId="6E3EAE4B" w14:textId="77777777" w:rsidR="00C04BEF" w:rsidRDefault="00C04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A5CC90" w14:textId="77777777" w:rsidR="005B3875" w:rsidRDefault="00000000">
    <w:pPr>
      <w:tabs>
        <w:tab w:val="right" w:pos="9360"/>
      </w:tabs>
      <w:spacing w:line="240" w:lineRule="auto"/>
      <w:rPr>
        <w:i/>
        <w:iCs/>
        <w:color w:val="999999"/>
        <w:sz w:val="18"/>
        <w:szCs w:val="18"/>
      </w:rPr>
    </w:pPr>
    <w:r>
      <w:rPr>
        <w:i/>
        <w:iCs/>
        <w:color w:val="999999"/>
        <w:sz w:val="18"/>
        <w:szCs w:val="18"/>
      </w:rPr>
      <w:t>AI4HM Protocol Template v0.3</w:t>
    </w:r>
    <w:r>
      <w:rPr>
        <w:i/>
        <w:iCs/>
        <w:color w:val="999999"/>
        <w:sz w:val="18"/>
        <w:szCs w:val="18"/>
      </w:rPr>
      <w:tab/>
      <w:t>Draft — for community feedback</w:t>
    </w:r>
  </w:p>
  <w:p w14:paraId="3FA58522" w14:textId="77777777" w:rsidR="005B3875" w:rsidRDefault="00000000">
    <w:pPr>
      <w:tabs>
        <w:tab w:val="right" w:pos="9360"/>
      </w:tabs>
      <w:spacing w:line="240" w:lineRule="auto"/>
      <w:rPr>
        <w:i/>
        <w:iCs/>
        <w:color w:val="999999"/>
        <w:sz w:val="18"/>
        <w:szCs w:val="18"/>
      </w:rPr>
    </w:pPr>
    <w:r>
      <w:rPr>
        <w:i/>
        <w:iCs/>
        <w:color w:val="999999"/>
        <w:sz w:val="18"/>
        <w:szCs w:val="18"/>
      </w:rPr>
      <w:t>ispe-dtai-sig.github.io/AI4HM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76BE3" w14:textId="77777777" w:rsidR="005B3875" w:rsidRDefault="005B3875"/>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875"/>
    <w:rsid w:val="00125969"/>
    <w:rsid w:val="005164BB"/>
    <w:rsid w:val="005B3875"/>
    <w:rsid w:val="00720441"/>
    <w:rsid w:val="007C5D36"/>
    <w:rsid w:val="00C04BEF"/>
    <w:rsid w:val="00F1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786E94"/>
  <w15:docId w15:val="{06DD1707-CB3F-3E49-9C6E-C5F4A953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oppins" w:eastAsia="Poppins" w:hAnsi="Poppins" w:cs="Poppi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ubmed.ncbi.nlm.nih.gov/906537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kathrynrough.net"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8064</Characters>
  <Application>Microsoft Office Word</Application>
  <DocSecurity>0</DocSecurity>
  <Lines>180</Lines>
  <Paragraphs>60</Paragraphs>
  <ScaleCrop>false</ScaleCrop>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Diaz-Decaro</cp:lastModifiedBy>
  <cp:revision>2</cp:revision>
  <dcterms:created xsi:type="dcterms:W3CDTF">2026-08-10T05:44:00Z</dcterms:created>
  <dcterms:modified xsi:type="dcterms:W3CDTF">2026-08-10T05:44:00Z</dcterms:modified>
</cp:coreProperties>
</file>